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6CA5" w14:textId="10FDFCF0" w:rsidR="00EF02C2" w:rsidRDefault="005E4CC3">
      <w:pPr>
        <w:pStyle w:val="Standard"/>
        <w:autoSpaceDE w:val="0"/>
      </w:pPr>
      <w:r>
        <w:t>By Greg Colby</w:t>
      </w:r>
    </w:p>
    <w:p w14:paraId="7ADD45CC" w14:textId="7C7C7E2A" w:rsidR="005E4CC3" w:rsidRDefault="005E4CC3">
      <w:pPr>
        <w:pStyle w:val="Standard"/>
        <w:autoSpaceDE w:val="0"/>
      </w:pPr>
      <w:r>
        <w:t>Judge Advocate</w:t>
      </w:r>
    </w:p>
    <w:p w14:paraId="307E3895" w14:textId="77777777" w:rsidR="005E4CC3" w:rsidRDefault="005E4CC3">
      <w:pPr>
        <w:pStyle w:val="Standard"/>
        <w:autoSpaceDE w:val="0"/>
      </w:pPr>
      <w:r>
        <w:t>The American Legion</w:t>
      </w:r>
    </w:p>
    <w:p w14:paraId="4F00FF67" w14:textId="29C97445" w:rsidR="005E4CC3" w:rsidRDefault="005E4CC3">
      <w:pPr>
        <w:pStyle w:val="Standard"/>
        <w:autoSpaceDE w:val="0"/>
      </w:pPr>
      <w:r>
        <w:t>Department of Minnesota</w:t>
      </w:r>
    </w:p>
    <w:p w14:paraId="4AD5AD52" w14:textId="0266FA76" w:rsidR="005E4CC3" w:rsidRDefault="005E4CC3">
      <w:pPr>
        <w:pStyle w:val="Standard"/>
        <w:autoSpaceDE w:val="0"/>
      </w:pPr>
    </w:p>
    <w:p w14:paraId="43A321E9" w14:textId="77777777" w:rsidR="005E4CC3" w:rsidRDefault="005E4CC3">
      <w:pPr>
        <w:pStyle w:val="Standard"/>
        <w:autoSpaceDE w:val="0"/>
      </w:pPr>
    </w:p>
    <w:p w14:paraId="00EECD63" w14:textId="45227B20" w:rsidR="00EF02C2" w:rsidRDefault="00A2505B">
      <w:pPr>
        <w:pStyle w:val="Standard"/>
        <w:autoSpaceDE w:val="0"/>
      </w:pPr>
      <w:r>
        <w:t xml:space="preserve">     On May 13, 2020, Gov</w:t>
      </w:r>
      <w:r w:rsidR="007A44B7">
        <w:t>.</w:t>
      </w:r>
      <w:bookmarkStart w:id="0" w:name="_GoBack"/>
      <w:bookmarkEnd w:id="0"/>
      <w:r>
        <w:t xml:space="preserve"> </w:t>
      </w:r>
      <w:r w:rsidR="007A44B7">
        <w:t xml:space="preserve">Tim </w:t>
      </w:r>
      <w:proofErr w:type="spellStart"/>
      <w:r>
        <w:t>Walz</w:t>
      </w:r>
      <w:proofErr w:type="spellEnd"/>
      <w:r>
        <w:t xml:space="preserve"> announced several new emergency executive orders that could have significant impact on the American Legion in Minnesota.  </w:t>
      </w:r>
    </w:p>
    <w:p w14:paraId="644A0177" w14:textId="77777777" w:rsidR="00EF02C2" w:rsidRDefault="00EF02C2">
      <w:pPr>
        <w:pStyle w:val="Standard"/>
        <w:autoSpaceDE w:val="0"/>
      </w:pPr>
    </w:p>
    <w:p w14:paraId="06271C69" w14:textId="77777777" w:rsidR="00EF02C2" w:rsidRDefault="00A2505B">
      <w:pPr>
        <w:pStyle w:val="Standard"/>
        <w:autoSpaceDE w:val="0"/>
      </w:pPr>
      <w:r>
        <w:rPr>
          <w:b/>
          <w:bCs/>
        </w:rPr>
        <w:t xml:space="preserve">Emergency Executive Order 20-56 </w:t>
      </w:r>
      <w:r>
        <w:t xml:space="preserve">– amends and changes a number of rules for operating during the pandemic.  </w:t>
      </w:r>
      <w:proofErr w:type="gramStart"/>
      <w:r>
        <w:t>Specifically</w:t>
      </w:r>
      <w:proofErr w:type="gramEnd"/>
      <w:r>
        <w:t xml:space="preserve"> at paragraph 7b, the Governor ordered that</w:t>
      </w:r>
    </w:p>
    <w:p w14:paraId="25798F7C" w14:textId="77777777" w:rsidR="00EF02C2" w:rsidRDefault="00EF02C2">
      <w:pPr>
        <w:pStyle w:val="Standard"/>
        <w:autoSpaceDE w:val="0"/>
      </w:pPr>
    </w:p>
    <w:p w14:paraId="43824962" w14:textId="77777777" w:rsidR="00EF02C2" w:rsidRDefault="00A2505B">
      <w:pPr>
        <w:pStyle w:val="Standard"/>
        <w:autoSpaceDE w:val="0"/>
      </w:pPr>
      <w:r>
        <w:t xml:space="preserve">     </w:t>
      </w:r>
      <w:proofErr w:type="gramStart"/>
      <w:r>
        <w:rPr>
          <w:rFonts w:eastAsia="Times New Roman" w:cs="Times New Roman"/>
          <w:b/>
          <w:bCs/>
          <w:color w:val="000000"/>
          <w:sz w:val="23"/>
          <w:szCs w:val="23"/>
        </w:rPr>
        <w:t>“</w:t>
      </w:r>
      <w:r>
        <w:rPr>
          <w:rFonts w:eastAsia="Times New Roman" w:cs="Times New Roman"/>
          <w:color w:val="000000"/>
          <w:sz w:val="23"/>
          <w:szCs w:val="23"/>
        </w:rPr>
        <w:t xml:space="preserve"> </w:t>
      </w:r>
      <w:r>
        <w:rPr>
          <w:rFonts w:eastAsia="Times New Roman" w:cs="Times New Roman"/>
          <w:color w:val="000000"/>
          <w:sz w:val="23"/>
          <w:szCs w:val="23"/>
          <w:u w:val="single"/>
        </w:rPr>
        <w:t>Plan</w:t>
      </w:r>
      <w:proofErr w:type="gramEnd"/>
      <w:r>
        <w:rPr>
          <w:rFonts w:eastAsia="Times New Roman" w:cs="Times New Roman"/>
          <w:color w:val="000000"/>
          <w:sz w:val="23"/>
          <w:szCs w:val="23"/>
          <w:u w:val="single"/>
        </w:rPr>
        <w:t xml:space="preserve"> to reopen bars,</w:t>
      </w:r>
      <w:r>
        <w:rPr>
          <w:rFonts w:eastAsia="Times New Roman" w:cs="Times New Roman"/>
          <w:color w:val="000000"/>
          <w:sz w:val="23"/>
          <w:szCs w:val="23"/>
        </w:rPr>
        <w:t xml:space="preserve"> restaurants, and other places of public accommodation. The Commissioners of Health, Employment and Economic Development, and Labor and Industry are directed to develop a phased plan to achieve the limited and safe reopening of bars, restaurants, and other places of public accommodation beginning on June 1, 2020. This plan will be ready for presentation to the public no later than May 20, 2020.”  A week from now the Minnesota Department of Employment and Economic Development and the Minnesota Department of Health should have a plan for the limited and safe reopening of bars and restaurants.  </w:t>
      </w:r>
    </w:p>
    <w:p w14:paraId="78461D6C" w14:textId="77777777" w:rsidR="00EF02C2" w:rsidRDefault="00EF02C2">
      <w:pPr>
        <w:pStyle w:val="Standard"/>
        <w:autoSpaceDE w:val="0"/>
      </w:pPr>
    </w:p>
    <w:p w14:paraId="34E3BCDC" w14:textId="77777777" w:rsidR="00EF02C2" w:rsidRDefault="00A2505B">
      <w:pPr>
        <w:pStyle w:val="Standard"/>
        <w:autoSpaceDE w:val="0"/>
      </w:pPr>
      <w:r>
        <w:t xml:space="preserve">     </w:t>
      </w:r>
      <w:r>
        <w:rPr>
          <w:u w:val="single"/>
        </w:rPr>
        <w:t>My conclusion</w:t>
      </w:r>
      <w:r>
        <w:t xml:space="preserve"> is that nothing has changed for the rest of May, but things will start changing on June 1.  For the rest of May, bars still cannot be engaged in the business of on sale liquor sales or </w:t>
      </w:r>
      <w:proofErr w:type="gramStart"/>
      <w:r>
        <w:t>on site</w:t>
      </w:r>
      <w:proofErr w:type="gramEnd"/>
      <w:r>
        <w:t xml:space="preserve"> consumption, but a plan will be presented next week to begin re-opening bars and restaurants beginning June 1.  All posts with restaurant or bar operations are urged to read this emergency order and to consult with their attorney.  </w:t>
      </w:r>
    </w:p>
    <w:p w14:paraId="1FD10AE2" w14:textId="77777777" w:rsidR="00EF02C2" w:rsidRDefault="00EF02C2">
      <w:pPr>
        <w:pStyle w:val="Standard"/>
        <w:autoSpaceDE w:val="0"/>
      </w:pPr>
    </w:p>
    <w:p w14:paraId="319B341A" w14:textId="77777777" w:rsidR="00EF02C2" w:rsidRDefault="00A2505B">
      <w:pPr>
        <w:pStyle w:val="Standard"/>
        <w:autoSpaceDE w:val="0"/>
      </w:pPr>
      <w:r>
        <w:rPr>
          <w:b/>
          <w:bCs/>
        </w:rPr>
        <w:t>Emergency Executive Order 20-55</w:t>
      </w:r>
      <w:r>
        <w:t xml:space="preserve"> contains some very good explanations as to why we need to continue to be careful and to follow public health rules.  </w:t>
      </w:r>
    </w:p>
    <w:p w14:paraId="2A2AA589" w14:textId="77777777" w:rsidR="00EF02C2" w:rsidRDefault="00EF02C2">
      <w:pPr>
        <w:pStyle w:val="Standard"/>
        <w:autoSpaceDE w:val="0"/>
      </w:pPr>
    </w:p>
    <w:p w14:paraId="411D3550" w14:textId="77777777" w:rsidR="00EF02C2" w:rsidRDefault="00A2505B">
      <w:pPr>
        <w:pStyle w:val="Standard"/>
        <w:autoSpaceDE w:val="0"/>
      </w:pPr>
      <w:r>
        <w:t xml:space="preserve">     </w:t>
      </w:r>
      <w:r>
        <w:rPr>
          <w:rFonts w:eastAsia="Times New Roman" w:cs="Times New Roman"/>
          <w:color w:val="000000"/>
        </w:rPr>
        <w:t xml:space="preserve"> </w:t>
      </w:r>
      <w:r>
        <w:rPr>
          <w:rFonts w:eastAsia="Times New Roman" w:cs="Times New Roman"/>
          <w:color w:val="000000"/>
          <w:sz w:val="23"/>
          <w:szCs w:val="23"/>
        </w:rPr>
        <w:t xml:space="preserve">As businesses reopen and some restrictions on movement have been relaxed, we must continue efforts to contain the spread of COVID-19 and to protect the most vulnerable Minnesotans, including the nearly 10,000 Minnesotans experiencing homelessness who are living outside or in a temporary shelter, the over 110,000 Minnesotans living in or receiving services from residential settings, the 778,000 Minnesotans under age 65 with an underlying health condition, and the 888,000 Minnesotans who are over age 65. Many Minnesotans at risk of serious illness due to COVID-19, including older adults and people with disabilities, whether they live in their own homes, a shelter, outdoors, in long-term care facilities, treatment centers, or a temporary location due to a COVID-19 infection, </w:t>
      </w:r>
      <w:proofErr w:type="gramStart"/>
      <w:r>
        <w:rPr>
          <w:rFonts w:eastAsia="Times New Roman" w:cs="Times New Roman"/>
          <w:color w:val="000000"/>
          <w:sz w:val="23"/>
          <w:szCs w:val="23"/>
        </w:rPr>
        <w:t>are in need of</w:t>
      </w:r>
      <w:proofErr w:type="gramEnd"/>
      <w:r>
        <w:rPr>
          <w:rFonts w:eastAsia="Times New Roman" w:cs="Times New Roman"/>
          <w:color w:val="000000"/>
          <w:sz w:val="23"/>
          <w:szCs w:val="23"/>
        </w:rPr>
        <w:t xml:space="preserve"> protections to support their health and safety during the COVID-19 pandemic.</w:t>
      </w:r>
    </w:p>
    <w:p w14:paraId="18930EEA" w14:textId="77777777" w:rsidR="00EF02C2" w:rsidRDefault="00A2505B">
      <w:pPr>
        <w:pStyle w:val="CM2"/>
        <w:autoSpaceDE w:val="0"/>
        <w:ind w:right="105"/>
        <w:rPr>
          <w:rFonts w:eastAsia="Times New Roman" w:cs="Times New Roman"/>
          <w:color w:val="000000"/>
          <w:sz w:val="23"/>
          <w:szCs w:val="23"/>
        </w:rPr>
      </w:pPr>
      <w:r>
        <w:rPr>
          <w:rFonts w:eastAsia="Times New Roman" w:cs="Times New Roman"/>
          <w:color w:val="000000"/>
          <w:sz w:val="23"/>
          <w:szCs w:val="23"/>
        </w:rPr>
        <w:t xml:space="preserve">     We recognize that our communities of color and indigenous communities are disproportionately represented among populations with underlying conditions and co-morbidities that increase the risk of becoming severely ill if they contract COVID-19. These communities also make up a large percentage of the direct service caregivers working on the frontlines of this pandemic, and because of their interactions through their work, have increased chances to encounter and contract COVID-19. </w:t>
      </w:r>
      <w:proofErr w:type="gramStart"/>
      <w:r>
        <w:rPr>
          <w:rFonts w:eastAsia="Times New Roman" w:cs="Times New Roman"/>
          <w:color w:val="000000"/>
          <w:sz w:val="23"/>
          <w:szCs w:val="23"/>
        </w:rPr>
        <w:t>Taking action</w:t>
      </w:r>
      <w:proofErr w:type="gramEnd"/>
      <w:r>
        <w:rPr>
          <w:rFonts w:eastAsia="Times New Roman" w:cs="Times New Roman"/>
          <w:color w:val="000000"/>
          <w:sz w:val="23"/>
          <w:szCs w:val="23"/>
        </w:rPr>
        <w:t xml:space="preserve"> to protect vulnerable populations will help ensure we do not exacerbate these disparities.</w:t>
      </w:r>
    </w:p>
    <w:p w14:paraId="5CAFDA1C" w14:textId="77777777" w:rsidR="00EF02C2" w:rsidRDefault="00A2505B">
      <w:pPr>
        <w:pStyle w:val="Standard"/>
        <w:autoSpaceDE w:val="0"/>
        <w:spacing w:line="276" w:lineRule="atLeast"/>
        <w:ind w:right="105"/>
        <w:rPr>
          <w:rFonts w:eastAsia="Times New Roman" w:cs="Times New Roman"/>
          <w:color w:val="000000"/>
          <w:sz w:val="23"/>
          <w:szCs w:val="23"/>
        </w:rPr>
      </w:pPr>
      <w:r>
        <w:rPr>
          <w:rFonts w:eastAsia="Times New Roman" w:cs="Times New Roman"/>
          <w:color w:val="000000"/>
          <w:sz w:val="23"/>
          <w:szCs w:val="23"/>
        </w:rPr>
        <w:t xml:space="preserve">     </w:t>
      </w:r>
    </w:p>
    <w:p w14:paraId="614F395D" w14:textId="77777777" w:rsidR="00EF02C2" w:rsidRDefault="00A2505B">
      <w:pPr>
        <w:pStyle w:val="Standard"/>
        <w:autoSpaceDE w:val="0"/>
      </w:pPr>
      <w:r>
        <w:rPr>
          <w:rFonts w:eastAsia="Times New Roman" w:cs="Times New Roman"/>
          <w:b/>
          <w:bCs/>
          <w:color w:val="000000"/>
          <w:sz w:val="23"/>
          <w:szCs w:val="23"/>
        </w:rPr>
        <w:t xml:space="preserve">     At-risk persons strongly urged to stay at home. </w:t>
      </w:r>
      <w:r>
        <w:rPr>
          <w:rFonts w:eastAsia="Times New Roman" w:cs="Times New Roman"/>
          <w:color w:val="000000"/>
          <w:sz w:val="23"/>
          <w:szCs w:val="23"/>
        </w:rPr>
        <w:t>Beginning on Sunday, May 17, 2020 at 11:59 pm and continuing for the duration of the peacetime emergency declared in Executive Order 20-01 or until this Executive Order is rescinded</w:t>
      </w:r>
    </w:p>
    <w:p w14:paraId="375892C8" w14:textId="77777777" w:rsidR="00EF02C2" w:rsidRDefault="00A2505B">
      <w:pPr>
        <w:pStyle w:val="Standard"/>
        <w:autoSpaceDE w:val="0"/>
      </w:pPr>
      <w:r>
        <w:rPr>
          <w:rFonts w:eastAsia="Times New Roman" w:cs="Times New Roman"/>
          <w:color w:val="000000"/>
          <w:sz w:val="23"/>
          <w:szCs w:val="23"/>
        </w:rPr>
        <w:t xml:space="preserve">     </w:t>
      </w:r>
    </w:p>
    <w:p w14:paraId="5C03CF02" w14:textId="77777777" w:rsidR="00EF02C2" w:rsidRDefault="00A2505B">
      <w:pPr>
        <w:pStyle w:val="Standard"/>
        <w:autoSpaceDE w:val="0"/>
      </w:pPr>
      <w:r>
        <w:rPr>
          <w:rFonts w:eastAsia="Times New Roman" w:cs="Times New Roman"/>
          <w:b/>
          <w:bCs/>
          <w:color w:val="000000"/>
          <w:sz w:val="23"/>
          <w:szCs w:val="23"/>
        </w:rPr>
        <w:lastRenderedPageBreak/>
        <w:t xml:space="preserve">     At-risk persons defined</w:t>
      </w:r>
      <w:r>
        <w:rPr>
          <w:rFonts w:eastAsia="Times New Roman" w:cs="Times New Roman"/>
          <w:color w:val="000000"/>
          <w:sz w:val="23"/>
          <w:szCs w:val="23"/>
        </w:rPr>
        <w:t>. Consistent with guidance issued by the Centers for Disease Control and Prevention (“CDC”), “at-risk persons” include people who are:</w:t>
      </w:r>
    </w:p>
    <w:p w14:paraId="19295D17" w14:textId="77777777" w:rsidR="00EF02C2" w:rsidRDefault="00A2505B">
      <w:pPr>
        <w:pStyle w:val="Standard"/>
        <w:autoSpaceDE w:val="0"/>
        <w:spacing w:after="162"/>
      </w:pPr>
      <w:r>
        <w:rPr>
          <w:rFonts w:eastAsia="Times New Roman" w:cs="Times New Roman"/>
          <w:color w:val="000000"/>
          <w:sz w:val="23"/>
          <w:szCs w:val="23"/>
        </w:rPr>
        <w:t>a. 65 years and older.</w:t>
      </w:r>
    </w:p>
    <w:p w14:paraId="62E4FB44" w14:textId="77777777" w:rsidR="00EF02C2" w:rsidRDefault="00A2505B">
      <w:pPr>
        <w:pStyle w:val="Standard"/>
        <w:autoSpaceDE w:val="0"/>
        <w:spacing w:after="162"/>
      </w:pPr>
      <w:r>
        <w:rPr>
          <w:rFonts w:eastAsia="Times New Roman" w:cs="Times New Roman"/>
          <w:color w:val="000000"/>
          <w:sz w:val="23"/>
          <w:szCs w:val="23"/>
        </w:rPr>
        <w:t>b. Living in a nursing home or a long-term care facility, as defined by the Commissioner of Health.</w:t>
      </w:r>
    </w:p>
    <w:p w14:paraId="05885D96" w14:textId="77777777" w:rsidR="00EF02C2" w:rsidRDefault="00A2505B">
      <w:pPr>
        <w:pStyle w:val="Standard"/>
        <w:autoSpaceDE w:val="0"/>
      </w:pPr>
      <w:r>
        <w:rPr>
          <w:rFonts w:eastAsia="Times New Roman" w:cs="Times New Roman"/>
          <w:color w:val="000000"/>
          <w:sz w:val="23"/>
          <w:szCs w:val="23"/>
        </w:rPr>
        <w:t>c. Any age with underlying medical conditions, particularly if not well controlled, including:</w:t>
      </w:r>
    </w:p>
    <w:p w14:paraId="5B7AFCF6" w14:textId="77777777" w:rsidR="00EF02C2" w:rsidRDefault="00A2505B">
      <w:pPr>
        <w:pStyle w:val="Standard"/>
        <w:autoSpaceDE w:val="0"/>
      </w:pPr>
      <w:proofErr w:type="spellStart"/>
      <w:r>
        <w:rPr>
          <w:rFonts w:eastAsia="Times New Roman" w:cs="Times New Roman"/>
          <w:color w:val="000000"/>
          <w:sz w:val="23"/>
          <w:szCs w:val="23"/>
        </w:rPr>
        <w:t>i</w:t>
      </w:r>
      <w:proofErr w:type="spellEnd"/>
      <w:r>
        <w:rPr>
          <w:rFonts w:eastAsia="Times New Roman" w:cs="Times New Roman"/>
          <w:color w:val="000000"/>
          <w:sz w:val="23"/>
          <w:szCs w:val="23"/>
        </w:rPr>
        <w:t>. People with chronic lung disease or moderate to severe asthma.</w:t>
      </w:r>
    </w:p>
    <w:p w14:paraId="18474F6C" w14:textId="77777777" w:rsidR="00EF02C2" w:rsidRDefault="00A2505B">
      <w:pPr>
        <w:pStyle w:val="Standard"/>
        <w:autoSpaceDE w:val="0"/>
      </w:pPr>
      <w:r>
        <w:rPr>
          <w:rFonts w:eastAsia="Times New Roman" w:cs="Times New Roman"/>
          <w:color w:val="000000"/>
          <w:sz w:val="23"/>
          <w:szCs w:val="23"/>
        </w:rPr>
        <w:t>ii. People who have serious heart conditions.</w:t>
      </w:r>
    </w:p>
    <w:p w14:paraId="02BEA4DA" w14:textId="77777777" w:rsidR="00EF02C2" w:rsidRDefault="00A2505B">
      <w:pPr>
        <w:pStyle w:val="Standard"/>
        <w:autoSpaceDE w:val="0"/>
      </w:pPr>
      <w:r>
        <w:rPr>
          <w:rFonts w:eastAsia="Times New Roman" w:cs="Times New Roman"/>
          <w:color w:val="000000"/>
          <w:sz w:val="23"/>
          <w:szCs w:val="23"/>
        </w:rPr>
        <w:t>iii. People who are immunocompromised (caused by cancer treatment, smoking, bone marrow or organ transplantation, immune deficiencies, poorly controlled HIV or AIDS, or prolonged use of corticosteroids and other immune weakening medications).</w:t>
      </w:r>
    </w:p>
    <w:p w14:paraId="66C6DEAA" w14:textId="77777777" w:rsidR="00EF02C2" w:rsidRDefault="00A2505B">
      <w:pPr>
        <w:pStyle w:val="Standard"/>
        <w:autoSpaceDE w:val="0"/>
        <w:spacing w:after="162"/>
      </w:pPr>
      <w:r>
        <w:rPr>
          <w:rFonts w:eastAsia="Times New Roman" w:cs="Times New Roman"/>
          <w:color w:val="000000"/>
          <w:sz w:val="23"/>
          <w:szCs w:val="23"/>
        </w:rPr>
        <w:t>iv. People with severe obesity (body mass index (BMI) of 40 or higher).</w:t>
      </w:r>
    </w:p>
    <w:p w14:paraId="765904B0" w14:textId="77777777" w:rsidR="00EF02C2" w:rsidRDefault="00A2505B">
      <w:pPr>
        <w:pStyle w:val="Standard"/>
        <w:autoSpaceDE w:val="0"/>
      </w:pPr>
      <w:r>
        <w:rPr>
          <w:rFonts w:eastAsia="Times New Roman" w:cs="Times New Roman"/>
          <w:color w:val="000000"/>
          <w:sz w:val="23"/>
          <w:szCs w:val="23"/>
        </w:rPr>
        <w:t>v. People with diabetes.</w:t>
      </w:r>
    </w:p>
    <w:p w14:paraId="5015B81E" w14:textId="77777777" w:rsidR="00EF02C2" w:rsidRDefault="00A2505B">
      <w:pPr>
        <w:pStyle w:val="Standard"/>
        <w:autoSpaceDE w:val="0"/>
      </w:pPr>
      <w:r>
        <w:rPr>
          <w:rFonts w:eastAsia="Times New Roman" w:cs="Times New Roman"/>
          <w:color w:val="000000"/>
          <w:sz w:val="23"/>
          <w:szCs w:val="23"/>
        </w:rPr>
        <w:t xml:space="preserve">vi. People with chronic kidney disease undergoing dialysis. </w:t>
      </w:r>
      <w:proofErr w:type="spellStart"/>
      <w:r>
        <w:rPr>
          <w:rFonts w:eastAsia="Times New Roman" w:cs="Times New Roman"/>
          <w:color w:val="000000"/>
          <w:sz w:val="23"/>
          <w:szCs w:val="23"/>
        </w:rPr>
        <w:t>vii.People</w:t>
      </w:r>
      <w:proofErr w:type="spellEnd"/>
      <w:r>
        <w:rPr>
          <w:rFonts w:eastAsia="Times New Roman" w:cs="Times New Roman"/>
          <w:color w:val="000000"/>
          <w:sz w:val="23"/>
          <w:szCs w:val="23"/>
        </w:rPr>
        <w:t xml:space="preserve"> with liver disease.                                                                                                                       </w:t>
      </w:r>
    </w:p>
    <w:p w14:paraId="6C452B31" w14:textId="77777777" w:rsidR="00EF02C2" w:rsidRDefault="00A2505B">
      <w:pPr>
        <w:pStyle w:val="Standard"/>
        <w:autoSpaceDE w:val="0"/>
      </w:pPr>
      <w:r>
        <w:rPr>
          <w:rFonts w:eastAsia="Times New Roman" w:cs="Times New Roman"/>
          <w:color w:val="000000"/>
          <w:sz w:val="23"/>
          <w:szCs w:val="23"/>
        </w:rPr>
        <w:t xml:space="preserve">     </w:t>
      </w:r>
      <w:r>
        <w:rPr>
          <w:rFonts w:eastAsia="Times New Roman" w:cs="Times New Roman"/>
          <w:color w:val="000000"/>
          <w:sz w:val="23"/>
          <w:szCs w:val="23"/>
          <w:u w:val="single"/>
        </w:rPr>
        <w:t>My conclusion:</w:t>
      </w:r>
      <w:r>
        <w:rPr>
          <w:rFonts w:eastAsia="Times New Roman" w:cs="Times New Roman"/>
          <w:color w:val="000000"/>
          <w:sz w:val="23"/>
          <w:szCs w:val="23"/>
        </w:rPr>
        <w:t xml:space="preserve">  Plenty of our fellow Minnesotans remain at risk.  As we defended our fellow citizens during the wars of the 20</w:t>
      </w:r>
      <w:r>
        <w:rPr>
          <w:rFonts w:eastAsia="Times New Roman" w:cs="Times New Roman"/>
          <w:color w:val="000000"/>
          <w:sz w:val="23"/>
          <w:szCs w:val="23"/>
          <w:vertAlign w:val="superscript"/>
        </w:rPr>
        <w:t>th</w:t>
      </w:r>
      <w:r>
        <w:rPr>
          <w:rFonts w:eastAsia="Times New Roman" w:cs="Times New Roman"/>
          <w:color w:val="000000"/>
          <w:sz w:val="23"/>
          <w:szCs w:val="23"/>
        </w:rPr>
        <w:t xml:space="preserve"> Century and the challenges of the 21</w:t>
      </w:r>
      <w:r>
        <w:rPr>
          <w:rFonts w:eastAsia="Times New Roman" w:cs="Times New Roman"/>
          <w:color w:val="000000"/>
          <w:sz w:val="23"/>
          <w:szCs w:val="23"/>
          <w:vertAlign w:val="superscript"/>
        </w:rPr>
        <w:t>st</w:t>
      </w:r>
      <w:r>
        <w:rPr>
          <w:rFonts w:eastAsia="Times New Roman" w:cs="Times New Roman"/>
          <w:color w:val="000000"/>
          <w:sz w:val="23"/>
          <w:szCs w:val="23"/>
        </w:rPr>
        <w:t xml:space="preserve"> Century, so now do we need to act smart and safe to protect our fellow citizens once again.  And, let's not forget our friends and fellow vets now living in Minnesota's </w:t>
      </w:r>
      <w:proofErr w:type="gramStart"/>
      <w:r>
        <w:rPr>
          <w:rFonts w:eastAsia="Times New Roman" w:cs="Times New Roman"/>
          <w:color w:val="000000"/>
          <w:sz w:val="23"/>
          <w:szCs w:val="23"/>
        </w:rPr>
        <w:t>veterans</w:t>
      </w:r>
      <w:proofErr w:type="gramEnd"/>
      <w:r>
        <w:rPr>
          <w:rFonts w:eastAsia="Times New Roman" w:cs="Times New Roman"/>
          <w:color w:val="000000"/>
          <w:sz w:val="23"/>
          <w:szCs w:val="23"/>
        </w:rPr>
        <w:t xml:space="preserve"> homes.  A lot of them remain at risk.  Let's do our part to help them stay healthy and get through this national emergency.</w:t>
      </w:r>
    </w:p>
    <w:p w14:paraId="3496DDE7" w14:textId="77777777" w:rsidR="00EF02C2" w:rsidRDefault="00EF02C2">
      <w:pPr>
        <w:pStyle w:val="Standard"/>
        <w:autoSpaceDE w:val="0"/>
      </w:pPr>
    </w:p>
    <w:p w14:paraId="1ACBBE5D" w14:textId="77777777" w:rsidR="00EF02C2" w:rsidRDefault="00EF02C2">
      <w:pPr>
        <w:pStyle w:val="Standard"/>
        <w:autoSpaceDE w:val="0"/>
      </w:pPr>
    </w:p>
    <w:p w14:paraId="1552A84A" w14:textId="77777777" w:rsidR="00EF02C2" w:rsidRDefault="00A2505B">
      <w:pPr>
        <w:pStyle w:val="Standard"/>
        <w:autoSpaceDE w:val="0"/>
      </w:pPr>
      <w:r>
        <w:rPr>
          <w:rFonts w:eastAsia="Times New Roman" w:cs="Times New Roman"/>
          <w:b/>
          <w:bCs/>
          <w:color w:val="000000"/>
          <w:sz w:val="23"/>
          <w:szCs w:val="23"/>
        </w:rPr>
        <w:t xml:space="preserve">Emergency Executive Order 20-54 </w:t>
      </w:r>
      <w:r>
        <w:rPr>
          <w:rFonts w:eastAsia="Times New Roman" w:cs="Times New Roman"/>
          <w:color w:val="000000"/>
          <w:sz w:val="23"/>
          <w:szCs w:val="23"/>
        </w:rPr>
        <w:t>Protects workers from unsafe work conditions and retaliation during peacetime emergency</w:t>
      </w:r>
    </w:p>
    <w:p w14:paraId="1F0EE2B2" w14:textId="77777777" w:rsidR="00EF02C2" w:rsidRDefault="00EF02C2">
      <w:pPr>
        <w:pStyle w:val="Standard"/>
        <w:autoSpaceDE w:val="0"/>
      </w:pPr>
    </w:p>
    <w:p w14:paraId="191B88E7" w14:textId="77777777" w:rsidR="00EF02C2" w:rsidRDefault="00A2505B">
      <w:pPr>
        <w:pStyle w:val="Standard"/>
        <w:autoSpaceDE w:val="0"/>
      </w:pPr>
      <w:r>
        <w:rPr>
          <w:rFonts w:eastAsia="Times New Roman" w:cs="Times New Roman"/>
          <w:b/>
          <w:bCs/>
          <w:color w:val="000000"/>
          <w:sz w:val="23"/>
          <w:szCs w:val="23"/>
        </w:rPr>
        <w:t>Emergency Executive Order 20-53</w:t>
      </w:r>
      <w:r>
        <w:rPr>
          <w:rFonts w:eastAsia="Times New Roman" w:cs="Times New Roman"/>
          <w:color w:val="000000"/>
          <w:sz w:val="23"/>
          <w:szCs w:val="23"/>
        </w:rPr>
        <w:t xml:space="preserve"> the governor extended the COVID 19 peacetime </w:t>
      </w:r>
      <w:proofErr w:type="gramStart"/>
      <w:r>
        <w:rPr>
          <w:rFonts w:eastAsia="Times New Roman" w:cs="Times New Roman"/>
          <w:color w:val="000000"/>
          <w:sz w:val="23"/>
          <w:szCs w:val="23"/>
        </w:rPr>
        <w:t>emergency  through</w:t>
      </w:r>
      <w:proofErr w:type="gramEnd"/>
      <w:r>
        <w:rPr>
          <w:rFonts w:eastAsia="Times New Roman" w:cs="Times New Roman"/>
          <w:color w:val="000000"/>
          <w:sz w:val="23"/>
          <w:szCs w:val="23"/>
        </w:rPr>
        <w:t xml:space="preserve"> June 12, 2020.</w:t>
      </w:r>
    </w:p>
    <w:p w14:paraId="505FCF46" w14:textId="77777777" w:rsidR="00EF02C2" w:rsidRDefault="00EF02C2">
      <w:pPr>
        <w:pStyle w:val="Standard"/>
        <w:autoSpaceDE w:val="0"/>
      </w:pPr>
    </w:p>
    <w:p w14:paraId="069F839B" w14:textId="77777777" w:rsidR="00EF02C2" w:rsidRDefault="00A2505B">
      <w:pPr>
        <w:pStyle w:val="Standard"/>
        <w:autoSpaceDE w:val="0"/>
        <w:spacing w:line="276" w:lineRule="atLeast"/>
        <w:ind w:right="105"/>
        <w:rPr>
          <w:rFonts w:eastAsia="Times New Roman" w:cs="Times New Roman"/>
          <w:color w:val="000000"/>
          <w:sz w:val="23"/>
          <w:szCs w:val="23"/>
        </w:rPr>
      </w:pPr>
      <w:r>
        <w:rPr>
          <w:rFonts w:eastAsia="Times New Roman" w:cs="Times New Roman"/>
          <w:color w:val="000000"/>
          <w:sz w:val="23"/>
          <w:szCs w:val="23"/>
        </w:rPr>
        <w:t xml:space="preserve">     </w:t>
      </w:r>
    </w:p>
    <w:p w14:paraId="30887640" w14:textId="77777777" w:rsidR="00EF02C2" w:rsidRDefault="00A2505B">
      <w:pPr>
        <w:pStyle w:val="Standard"/>
        <w:autoSpaceDE w:val="0"/>
      </w:pPr>
      <w:r>
        <w:rPr>
          <w:sz w:val="23"/>
          <w:szCs w:val="23"/>
        </w:rPr>
        <w:t xml:space="preserve"> </w:t>
      </w:r>
    </w:p>
    <w:p w14:paraId="7E2D3DC7" w14:textId="77777777" w:rsidR="00EF02C2" w:rsidRDefault="00EF02C2">
      <w:pPr>
        <w:pStyle w:val="Standard"/>
        <w:autoSpaceDE w:val="0"/>
      </w:pPr>
    </w:p>
    <w:p w14:paraId="28A7F4E7" w14:textId="77777777" w:rsidR="00EF02C2" w:rsidRDefault="00EF02C2">
      <w:pPr>
        <w:pStyle w:val="Standard"/>
        <w:autoSpaceDE w:val="0"/>
      </w:pPr>
    </w:p>
    <w:p w14:paraId="4E6B1443" w14:textId="77777777" w:rsidR="00EF02C2" w:rsidRDefault="00EF02C2">
      <w:pPr>
        <w:pStyle w:val="Standard"/>
        <w:autoSpaceDE w:val="0"/>
      </w:pPr>
    </w:p>
    <w:p w14:paraId="7CF54014" w14:textId="77777777" w:rsidR="00EF02C2" w:rsidRDefault="00A2505B">
      <w:pPr>
        <w:pStyle w:val="Standard"/>
        <w:autoSpaceDE w:val="0"/>
      </w:pPr>
      <w:r>
        <w:t xml:space="preserve"> </w:t>
      </w:r>
    </w:p>
    <w:p w14:paraId="67A83520" w14:textId="77777777" w:rsidR="00EF02C2" w:rsidRDefault="00EF02C2">
      <w:pPr>
        <w:pStyle w:val="Standard"/>
        <w:autoSpaceDE w:val="0"/>
        <w:rPr>
          <w:sz w:val="23"/>
          <w:szCs w:val="23"/>
        </w:rPr>
      </w:pPr>
    </w:p>
    <w:p w14:paraId="3B0B0230" w14:textId="77777777" w:rsidR="00EF02C2" w:rsidRDefault="00EF02C2">
      <w:pPr>
        <w:pStyle w:val="Standard"/>
      </w:pPr>
    </w:p>
    <w:sectPr w:rsidR="00EF02C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5063" w14:textId="77777777" w:rsidR="00585481" w:rsidRDefault="00585481">
      <w:r>
        <w:separator/>
      </w:r>
    </w:p>
  </w:endnote>
  <w:endnote w:type="continuationSeparator" w:id="0">
    <w:p w14:paraId="3B5B4548" w14:textId="77777777" w:rsidR="00585481" w:rsidRDefault="0058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510C" w14:textId="77777777" w:rsidR="00585481" w:rsidRDefault="00585481">
      <w:r>
        <w:rPr>
          <w:color w:val="000000"/>
        </w:rPr>
        <w:separator/>
      </w:r>
    </w:p>
  </w:footnote>
  <w:footnote w:type="continuationSeparator" w:id="0">
    <w:p w14:paraId="0E239C50" w14:textId="77777777" w:rsidR="00585481" w:rsidRDefault="0058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EFF"/>
    <w:multiLevelType w:val="multilevel"/>
    <w:tmpl w:val="E2F0A35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AF4814"/>
    <w:multiLevelType w:val="multilevel"/>
    <w:tmpl w:val="CD0AA2A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FD1F2E"/>
    <w:multiLevelType w:val="multilevel"/>
    <w:tmpl w:val="A59A8CA4"/>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C854D6"/>
    <w:multiLevelType w:val="multilevel"/>
    <w:tmpl w:val="A774936C"/>
    <w:styleLink w:val="RTFNum1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5E2054C"/>
    <w:multiLevelType w:val="multilevel"/>
    <w:tmpl w:val="B70CBD9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F603E99"/>
    <w:multiLevelType w:val="multilevel"/>
    <w:tmpl w:val="65723424"/>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4927BAE"/>
    <w:multiLevelType w:val="multilevel"/>
    <w:tmpl w:val="4492FB2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C0D070C"/>
    <w:multiLevelType w:val="multilevel"/>
    <w:tmpl w:val="1146FF4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16A45BF"/>
    <w:multiLevelType w:val="multilevel"/>
    <w:tmpl w:val="E836E29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3141A8E"/>
    <w:multiLevelType w:val="multilevel"/>
    <w:tmpl w:val="015CA900"/>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2E26A5"/>
    <w:multiLevelType w:val="multilevel"/>
    <w:tmpl w:val="8698D75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C412194"/>
    <w:multiLevelType w:val="multilevel"/>
    <w:tmpl w:val="A98E440A"/>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8"/>
  </w:num>
  <w:num w:numId="3">
    <w:abstractNumId w:val="1"/>
  </w:num>
  <w:num w:numId="4">
    <w:abstractNumId w:val="11"/>
  </w:num>
  <w:num w:numId="5">
    <w:abstractNumId w:val="4"/>
  </w:num>
  <w:num w:numId="6">
    <w:abstractNumId w:val="2"/>
  </w:num>
  <w:num w:numId="7">
    <w:abstractNumId w:val="9"/>
  </w:num>
  <w:num w:numId="8">
    <w:abstractNumId w:val="7"/>
  </w:num>
  <w:num w:numId="9">
    <w:abstractNumId w:val="0"/>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C2"/>
    <w:rsid w:val="00585481"/>
    <w:rsid w:val="005E4CC3"/>
    <w:rsid w:val="00676EF8"/>
    <w:rsid w:val="007A44B7"/>
    <w:rsid w:val="00A2505B"/>
    <w:rsid w:val="00E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B9A72"/>
  <w15:docId w15:val="{CA73008D-CDF3-ED43-B261-D3E77266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M1">
    <w:name w:val="CM1"/>
    <w:basedOn w:val="Standard"/>
    <w:next w:val="Standard"/>
    <w:pPr>
      <w:spacing w:line="276" w:lineRule="atLeast"/>
    </w:pPr>
  </w:style>
  <w:style w:type="paragraph" w:customStyle="1" w:styleId="CM9">
    <w:name w:val="CM9"/>
    <w:basedOn w:val="Standard"/>
    <w:next w:val="Standard"/>
  </w:style>
  <w:style w:type="paragraph" w:customStyle="1" w:styleId="CM5">
    <w:name w:val="CM5"/>
    <w:basedOn w:val="Standard"/>
    <w:next w:val="Standard"/>
    <w:pPr>
      <w:spacing w:line="276" w:lineRule="atLeast"/>
    </w:pPr>
  </w:style>
  <w:style w:type="paragraph" w:customStyle="1" w:styleId="CM6">
    <w:name w:val="CM6"/>
    <w:basedOn w:val="Standard"/>
    <w:next w:val="Standard"/>
    <w:pPr>
      <w:spacing w:line="276" w:lineRule="atLeast"/>
    </w:pPr>
  </w:style>
  <w:style w:type="paragraph" w:customStyle="1" w:styleId="CM2">
    <w:name w:val="CM2"/>
    <w:basedOn w:val="Standard"/>
    <w:next w:val="Standard"/>
    <w:pPr>
      <w:spacing w:line="276" w:lineRule="atLeast"/>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numbering" w:customStyle="1" w:styleId="RTFNum8">
    <w:name w:val="RTF_Num 8"/>
    <w:basedOn w:val="NoList"/>
    <w:pPr>
      <w:numPr>
        <w:numId w:val="7"/>
      </w:numPr>
    </w:pPr>
  </w:style>
  <w:style w:type="numbering" w:customStyle="1" w:styleId="RTFNum9">
    <w:name w:val="RTF_Num 9"/>
    <w:basedOn w:val="NoList"/>
    <w:pPr>
      <w:numPr>
        <w:numId w:val="8"/>
      </w:numPr>
    </w:pPr>
  </w:style>
  <w:style w:type="numbering" w:customStyle="1" w:styleId="RTFNum10">
    <w:name w:val="RTF_Num 10"/>
    <w:basedOn w:val="NoList"/>
    <w:pPr>
      <w:numPr>
        <w:numId w:val="9"/>
      </w:numPr>
    </w:pPr>
  </w:style>
  <w:style w:type="numbering" w:customStyle="1" w:styleId="RTFNum11">
    <w:name w:val="RTF_Num 11"/>
    <w:basedOn w:val="NoList"/>
    <w:pPr>
      <w:numPr>
        <w:numId w:val="10"/>
      </w:numPr>
    </w:pPr>
  </w:style>
  <w:style w:type="numbering" w:customStyle="1" w:styleId="RTFNum12">
    <w:name w:val="RTF_Num 12"/>
    <w:basedOn w:val="NoList"/>
    <w:pPr>
      <w:numPr>
        <w:numId w:val="11"/>
      </w:numPr>
    </w:pPr>
  </w:style>
  <w:style w:type="numbering" w:customStyle="1" w:styleId="RTFNum13">
    <w:name w:val="RTF_Num 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Colby</dc:creator>
  <cp:lastModifiedBy>Tim</cp:lastModifiedBy>
  <cp:revision>4</cp:revision>
  <dcterms:created xsi:type="dcterms:W3CDTF">2020-05-14T14:47:00Z</dcterms:created>
  <dcterms:modified xsi:type="dcterms:W3CDTF">2020-05-14T14:50:00Z</dcterms:modified>
</cp:coreProperties>
</file>